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28" w:rsidRPr="001E246D" w:rsidRDefault="001E246D" w:rsidP="001E246D">
      <w:pPr>
        <w:jc w:val="both"/>
      </w:pPr>
      <w:bookmarkStart w:id="0" w:name="_GoBack"/>
      <w:r w:rsidRPr="001E246D">
        <w:t>The objective of the knowledge creation and dissemination can only be achieved when all the stakeholders of the University i.e. students, research scholars, faculty, non-teaching staff, evaluators, sponsoring agencies, and consultants etc. maintains the individual as well as institutional academic integrity and morality. The BPSMV attaches significant consideration to uphold the high ethical standards in the academics and research undertaken by the internal stakeholder. This policy document compress, the guidelines, and ethical framework to ensure strict compliance of integrity and ethical conduct in academics and research.</w:t>
      </w:r>
      <w:bookmarkEnd w:id="0"/>
    </w:p>
    <w:sectPr w:rsidR="00457B28" w:rsidRPr="001E2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6D"/>
    <w:rsid w:val="001E246D"/>
    <w:rsid w:val="00457B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NAAC</dc:creator>
  <cp:lastModifiedBy>NAAC</cp:lastModifiedBy>
  <cp:revision>1</cp:revision>
  <dcterms:created xsi:type="dcterms:W3CDTF">2022-08-08T09:10:00Z</dcterms:created>
  <dcterms:modified xsi:type="dcterms:W3CDTF">2022-08-08T09:15:00Z</dcterms:modified>
</cp:coreProperties>
</file>